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02F3CD82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 xml:space="preserve">NAZIV KORISNIKA: </w:t>
      </w:r>
      <w:r w:rsidR="00891851">
        <w:rPr>
          <w:rFonts w:ascii="Times New Roman" w:hAnsi="Times New Roman"/>
          <w:b/>
        </w:rPr>
        <w:t>Srednja poljoprivredna i tehnička škola, OPUZEN, OIB 26521495004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5DAB1C1A" w:rsidR="00907E62" w:rsidRPr="00EC7944" w:rsidRDefault="00A412F3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907E6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IZ</w:t>
      </w:r>
      <w:r w:rsidR="002E7422">
        <w:rPr>
          <w:rFonts w:ascii="Times New Roman" w:hAnsi="Times New Roman"/>
          <w:b/>
        </w:rPr>
        <w:t>MJENE I DOPUNE PRORAČUNA ZA 2026</w:t>
      </w:r>
      <w:r>
        <w:rPr>
          <w:rFonts w:ascii="Times New Roman" w:hAnsi="Times New Roman"/>
          <w:b/>
        </w:rPr>
        <w:t>.</w:t>
      </w:r>
      <w:r w:rsidR="00907E62"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11"/>
        <w:gridCol w:w="1227"/>
        <w:gridCol w:w="2451"/>
        <w:gridCol w:w="1266"/>
        <w:gridCol w:w="2184"/>
        <w:gridCol w:w="1328"/>
      </w:tblGrid>
      <w:tr w:rsidR="00AC0302" w:rsidRPr="00EC7944" w14:paraId="59869E21" w14:textId="77777777" w:rsidTr="00AC0302">
        <w:tc>
          <w:tcPr>
            <w:tcW w:w="611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3678" w:type="dxa"/>
            <w:gridSpan w:val="2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2ADBB19C" w14:textId="680E60F4" w:rsidR="00907E62" w:rsidRPr="00EC7944" w:rsidRDefault="00AC030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412F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49397C45" w14:textId="1DC183E4" w:rsidR="00907E62" w:rsidRPr="00EC7944" w:rsidRDefault="00AC030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</w:t>
            </w:r>
            <w:r w:rsidRPr="00AC0302">
              <w:rPr>
                <w:rFonts w:ascii="Times New Roman" w:hAnsi="Times New Roman"/>
                <w:b/>
              </w:rPr>
              <w:t>/s</w:t>
            </w:r>
            <w:r>
              <w:rPr>
                <w:rFonts w:ascii="Times New Roman" w:hAnsi="Times New Roman"/>
                <w:b/>
              </w:rPr>
              <w:t>manjenje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3D6151A9" w14:textId="104C0FA3" w:rsidR="00907E62" w:rsidRPr="00EC7944" w:rsidRDefault="00AC030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  <w:r w:rsidR="00907E62" w:rsidRPr="00EC794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</w:tr>
      <w:tr w:rsidR="00AC0302" w:rsidRPr="00EC7944" w14:paraId="38ABE023" w14:textId="77777777" w:rsidTr="00AC0302">
        <w:tc>
          <w:tcPr>
            <w:tcW w:w="611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78" w:type="dxa"/>
            <w:gridSpan w:val="2"/>
          </w:tcPr>
          <w:p w14:paraId="257374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59416951" w14:textId="335708BF" w:rsidR="00907E62" w:rsidRPr="00EC7944" w:rsidRDefault="00A5044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97 155</w:t>
            </w:r>
            <w:r w:rsidR="004D0FBE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2184" w:type="dxa"/>
            <w:vAlign w:val="center"/>
          </w:tcPr>
          <w:p w14:paraId="3D721CDF" w14:textId="4C978C5F" w:rsidR="00907E62" w:rsidRPr="00EC7944" w:rsidRDefault="00D96AA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28" w:type="dxa"/>
            <w:vAlign w:val="center"/>
          </w:tcPr>
          <w:p w14:paraId="5DCA65AF" w14:textId="5C35135A" w:rsidR="00907E62" w:rsidRPr="00EC7944" w:rsidRDefault="00A5044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97 155</w:t>
            </w:r>
            <w:r w:rsidR="003B6075">
              <w:rPr>
                <w:rFonts w:ascii="Times New Roman" w:hAnsi="Times New Roman"/>
                <w:b/>
              </w:rPr>
              <w:t>,00</w:t>
            </w:r>
          </w:p>
        </w:tc>
      </w:tr>
      <w:tr w:rsidR="00AC0302" w:rsidRPr="00EC7944" w14:paraId="2B3F0FBF" w14:textId="77777777" w:rsidTr="00AC0302">
        <w:tc>
          <w:tcPr>
            <w:tcW w:w="611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78" w:type="dxa"/>
            <w:gridSpan w:val="2"/>
          </w:tcPr>
          <w:p w14:paraId="238F11A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42A4CCB2" w14:textId="123AF172" w:rsidR="00907E62" w:rsidRPr="003C11B3" w:rsidRDefault="00D96AA2" w:rsidP="00C9217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724</w:t>
            </w:r>
            <w:r w:rsidR="003C11B3">
              <w:rPr>
                <w:rFonts w:ascii="Times New Roman" w:hAnsi="Times New Roman"/>
                <w:b/>
              </w:rPr>
              <w:t xml:space="preserve"> 600</w:t>
            </w:r>
            <w:r w:rsidR="00C92176" w:rsidRPr="003C11B3">
              <w:rPr>
                <w:rFonts w:ascii="Times New Roman" w:hAnsi="Times New Roman"/>
                <w:b/>
              </w:rPr>
              <w:t>,</w:t>
            </w:r>
            <w:r w:rsidR="004D0FBE" w:rsidRPr="003C11B3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2184" w:type="dxa"/>
            <w:vAlign w:val="center"/>
          </w:tcPr>
          <w:p w14:paraId="474D95C4" w14:textId="5AA9670D" w:rsidR="00907E62" w:rsidRPr="00EC7944" w:rsidRDefault="00D96AA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256 382</w:t>
            </w:r>
            <w:r w:rsidR="00810C74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328" w:type="dxa"/>
            <w:vAlign w:val="center"/>
          </w:tcPr>
          <w:p w14:paraId="06775686" w14:textId="46ADDEE3" w:rsidR="00866CF1" w:rsidRPr="00EC7944" w:rsidRDefault="00D96AA2" w:rsidP="004D0FB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980 982</w:t>
            </w:r>
            <w:r w:rsidR="00810C74">
              <w:rPr>
                <w:rFonts w:ascii="Times New Roman" w:hAnsi="Times New Roman"/>
                <w:b/>
              </w:rPr>
              <w:t>,00</w:t>
            </w:r>
          </w:p>
        </w:tc>
      </w:tr>
      <w:tr w:rsidR="00AC0302" w:rsidRPr="00EC7944" w14:paraId="372335EC" w14:textId="77777777" w:rsidTr="00AC0302">
        <w:tc>
          <w:tcPr>
            <w:tcW w:w="611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78" w:type="dxa"/>
            <w:gridSpan w:val="2"/>
          </w:tcPr>
          <w:p w14:paraId="54E8DC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0457B457" w14:textId="79E559FF" w:rsidR="00907E62" w:rsidRPr="00EC7944" w:rsidRDefault="006B498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  <w:r w:rsidR="002E7422">
              <w:rPr>
                <w:rFonts w:ascii="Times New Roman" w:hAnsi="Times New Roman"/>
                <w:b/>
              </w:rPr>
              <w:t xml:space="preserve"> 571</w:t>
            </w:r>
            <w:r w:rsidR="00815FB1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2184" w:type="dxa"/>
            <w:vAlign w:val="center"/>
          </w:tcPr>
          <w:p w14:paraId="33AE1C96" w14:textId="19FD1D9B" w:rsidR="00907E62" w:rsidRPr="00EC7944" w:rsidRDefault="006B498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37 9</w:t>
            </w:r>
            <w:r w:rsidR="002E7422">
              <w:rPr>
                <w:rFonts w:ascii="Times New Roman" w:hAnsi="Times New Roman"/>
                <w:b/>
              </w:rPr>
              <w:t>72</w:t>
            </w:r>
            <w:r w:rsidR="00815FB1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328" w:type="dxa"/>
            <w:vAlign w:val="center"/>
          </w:tcPr>
          <w:p w14:paraId="398B7C10" w14:textId="1413ECEF" w:rsidR="00907E62" w:rsidRPr="00EC7944" w:rsidRDefault="006B498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112 5</w:t>
            </w:r>
            <w:r w:rsidR="002E7422">
              <w:rPr>
                <w:rFonts w:ascii="Times New Roman" w:hAnsi="Times New Roman"/>
                <w:b/>
              </w:rPr>
              <w:t>43</w:t>
            </w:r>
            <w:r w:rsidR="00BF69D1">
              <w:rPr>
                <w:rFonts w:ascii="Times New Roman" w:hAnsi="Times New Roman"/>
                <w:b/>
              </w:rPr>
              <w:t>,00</w:t>
            </w:r>
          </w:p>
        </w:tc>
      </w:tr>
      <w:tr w:rsidR="00AC0302" w:rsidRPr="00EC7944" w14:paraId="0C8E226B" w14:textId="77777777" w:rsidTr="00AC0302">
        <w:tc>
          <w:tcPr>
            <w:tcW w:w="611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78" w:type="dxa"/>
            <w:gridSpan w:val="2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F2A530F" w14:textId="65B44FD7" w:rsidR="00907E62" w:rsidRPr="00866CF1" w:rsidRDefault="006B498F" w:rsidP="00602A8B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896 326</w:t>
            </w:r>
            <w:r w:rsidR="003C5C9A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2184" w:type="dxa"/>
            <w:vAlign w:val="center"/>
          </w:tcPr>
          <w:p w14:paraId="45C14A2E" w14:textId="6ADB515A" w:rsidR="00907E62" w:rsidRPr="00EC7944" w:rsidRDefault="006B498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294 354</w:t>
            </w:r>
            <w:r w:rsidR="00815FB1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328" w:type="dxa"/>
            <w:vAlign w:val="center"/>
          </w:tcPr>
          <w:p w14:paraId="23479790" w14:textId="23D90821" w:rsidR="00907E62" w:rsidRPr="00866CF1" w:rsidRDefault="00BF69D1" w:rsidP="003C5C9A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6B498F">
              <w:rPr>
                <w:rFonts w:ascii="Times New Roman" w:hAnsi="Times New Roman"/>
                <w:b/>
                <w:sz w:val="20"/>
                <w:szCs w:val="20"/>
              </w:rPr>
              <w:t>190 680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907E62" w:rsidRPr="00EC7944" w14:paraId="63CB337A" w14:textId="77777777" w:rsidTr="00602A8B">
        <w:tc>
          <w:tcPr>
            <w:tcW w:w="1838" w:type="dxa"/>
            <w:gridSpan w:val="2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gridSpan w:val="2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gridSpan w:val="2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gridSpan w:val="2"/>
            <w:vAlign w:val="center"/>
          </w:tcPr>
          <w:p w14:paraId="4DCF9CC8" w14:textId="7721AC9B" w:rsidR="00907E62" w:rsidRPr="00EC7944" w:rsidRDefault="00A412F3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30BE83F7" w14:textId="461DBBF3" w:rsidR="00907E62" w:rsidRPr="00EC7944" w:rsidRDefault="003B607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Potreba za zapošljavanjem novih pomoćnika u nastavi dovodi do povećanja rashoda za plaće, troškova prijevoza te ostalih materijalnih rashoda uz plaću za iste</w:t>
            </w:r>
          </w:p>
        </w:tc>
      </w:tr>
      <w:tr w:rsidR="00907E62" w:rsidRPr="00EC7944" w14:paraId="36BBCFA3" w14:textId="77777777" w:rsidTr="00602A8B">
        <w:tc>
          <w:tcPr>
            <w:tcW w:w="1838" w:type="dxa"/>
            <w:gridSpan w:val="2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gridSpan w:val="2"/>
            <w:vAlign w:val="center"/>
          </w:tcPr>
          <w:p w14:paraId="5E196C44" w14:textId="7E15E4A3" w:rsidR="00907E62" w:rsidRPr="00EC7944" w:rsidRDefault="00A412F3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105B548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907E62" w:rsidRPr="00EC7944" w14:paraId="385A1481" w14:textId="77777777" w:rsidTr="00D82F29">
        <w:tc>
          <w:tcPr>
            <w:tcW w:w="1838" w:type="dxa"/>
            <w:gridSpan w:val="2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D82F29">
        <w:tc>
          <w:tcPr>
            <w:tcW w:w="1838" w:type="dxa"/>
            <w:gridSpan w:val="2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D82F29">
        <w:tc>
          <w:tcPr>
            <w:tcW w:w="1838" w:type="dxa"/>
            <w:gridSpan w:val="2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D82F29">
        <w:tc>
          <w:tcPr>
            <w:tcW w:w="1838" w:type="dxa"/>
            <w:gridSpan w:val="2"/>
            <w:vAlign w:val="center"/>
          </w:tcPr>
          <w:p w14:paraId="2A6B6603" w14:textId="6B612F55" w:rsidR="00907E62" w:rsidRPr="00EC7944" w:rsidRDefault="00AC030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75353B15" w14:textId="30387C1D" w:rsidR="00907E62" w:rsidRPr="00EC7944" w:rsidRDefault="00BF69D1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Povećanje obračunskog koeficijenta, povećanje nekih materijalnih rashoda pored plaće </w:t>
            </w:r>
          </w:p>
        </w:tc>
      </w:tr>
      <w:tr w:rsidR="00907E62" w:rsidRPr="00EC7944" w14:paraId="7C34DBCB" w14:textId="77777777" w:rsidTr="00D82F29">
        <w:tc>
          <w:tcPr>
            <w:tcW w:w="1838" w:type="dxa"/>
            <w:gridSpan w:val="2"/>
            <w:vAlign w:val="center"/>
          </w:tcPr>
          <w:p w14:paraId="10D80EB1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4BB8662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907E62" w:rsidRPr="00EC7944" w14:paraId="4D875890" w14:textId="77777777" w:rsidTr="00D82F29">
        <w:tc>
          <w:tcPr>
            <w:tcW w:w="1838" w:type="dxa"/>
            <w:gridSpan w:val="2"/>
            <w:vAlign w:val="center"/>
          </w:tcPr>
          <w:p w14:paraId="12E1049E" w14:textId="2CFE20CE" w:rsidR="00907E62" w:rsidRPr="00EC7944" w:rsidRDefault="00AC030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5D7ADD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7408F03" w14:textId="77777777" w:rsidTr="00D82F29">
        <w:tc>
          <w:tcPr>
            <w:tcW w:w="1838" w:type="dxa"/>
            <w:gridSpan w:val="2"/>
            <w:vAlign w:val="center"/>
          </w:tcPr>
          <w:p w14:paraId="5769CB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549D3101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907E62" w:rsidRPr="00EC7944" w14:paraId="3D3D4D50" w14:textId="77777777" w:rsidTr="00D82F29">
        <w:tc>
          <w:tcPr>
            <w:tcW w:w="1838" w:type="dxa"/>
            <w:gridSpan w:val="2"/>
            <w:vAlign w:val="center"/>
          </w:tcPr>
          <w:p w14:paraId="52BB166B" w14:textId="7E13A5C8" w:rsidR="00907E62" w:rsidRPr="00EC7944" w:rsidRDefault="00F3421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E57E6C7" w14:textId="746CD14F" w:rsidR="00907E62" w:rsidRPr="007536BA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907E62" w:rsidRPr="00EC7944" w14:paraId="06B9D9A9" w14:textId="77777777" w:rsidTr="00D82F29">
        <w:tc>
          <w:tcPr>
            <w:tcW w:w="1838" w:type="dxa"/>
            <w:gridSpan w:val="2"/>
            <w:vAlign w:val="center"/>
          </w:tcPr>
          <w:p w14:paraId="64154F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00F4DA08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F4976" w:rsidRPr="00EC7944" w:rsidRDefault="007F4976" w:rsidP="00A0785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</w:t>
            </w:r>
            <w:r w:rsidR="00B85C89" w:rsidRPr="00B85C89">
              <w:rPr>
                <w:rFonts w:ascii="Times New Roman" w:hAnsi="Times New Roman"/>
                <w:bCs/>
              </w:rPr>
              <w:t xml:space="preserve"> ili projektne dokumentacije za zgradu škole</w:t>
            </w:r>
          </w:p>
        </w:tc>
      </w:tr>
      <w:tr w:rsidR="00C411A6" w:rsidRPr="00EC7944" w14:paraId="7EA7F97F" w14:textId="77777777" w:rsidTr="00D82F29">
        <w:tc>
          <w:tcPr>
            <w:tcW w:w="1838" w:type="dxa"/>
            <w:gridSpan w:val="2"/>
            <w:vAlign w:val="center"/>
          </w:tcPr>
          <w:p w14:paraId="22DFE46A" w14:textId="2FAC9DA3" w:rsidR="00C411A6" w:rsidRPr="00EC7944" w:rsidRDefault="00F3421D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024A7CF2" w14:textId="0DBFCC49" w:rsidR="00C411A6" w:rsidRPr="007536BA" w:rsidRDefault="007C573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Rekonstrukcija kata škole, sanitarni čvor i učionice</w:t>
            </w:r>
          </w:p>
        </w:tc>
      </w:tr>
      <w:tr w:rsidR="00907E62" w:rsidRPr="00EC7944" w14:paraId="69B61777" w14:textId="77777777" w:rsidTr="00D82F29">
        <w:tc>
          <w:tcPr>
            <w:tcW w:w="1838" w:type="dxa"/>
            <w:gridSpan w:val="2"/>
            <w:shd w:val="clear" w:color="auto" w:fill="F2F2F2" w:themeFill="background1" w:themeFillShade="F2"/>
          </w:tcPr>
          <w:p w14:paraId="79F98DC8" w14:textId="0C284AE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D82F29">
        <w:tc>
          <w:tcPr>
            <w:tcW w:w="1838" w:type="dxa"/>
            <w:gridSpan w:val="2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D82F29">
        <w:tc>
          <w:tcPr>
            <w:tcW w:w="1838" w:type="dxa"/>
            <w:gridSpan w:val="2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D82F29">
        <w:tc>
          <w:tcPr>
            <w:tcW w:w="1838" w:type="dxa"/>
            <w:gridSpan w:val="2"/>
            <w:vAlign w:val="center"/>
          </w:tcPr>
          <w:p w14:paraId="3AC1FC4A" w14:textId="7C8C167D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3EF868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D3A9575" w14:textId="77777777" w:rsidTr="00D82F29">
        <w:tc>
          <w:tcPr>
            <w:tcW w:w="1838" w:type="dxa"/>
            <w:gridSpan w:val="2"/>
            <w:vAlign w:val="center"/>
          </w:tcPr>
          <w:p w14:paraId="6937ED5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19932B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D82F29">
        <w:tc>
          <w:tcPr>
            <w:tcW w:w="1838" w:type="dxa"/>
            <w:gridSpan w:val="2"/>
            <w:vAlign w:val="center"/>
          </w:tcPr>
          <w:p w14:paraId="1B846539" w14:textId="1D7A2452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412C0CA1" w14:textId="137FA4C9" w:rsidR="00907E62" w:rsidRPr="0056560C" w:rsidRDefault="002E742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2026. smo dobili novu akreditaciju za erasmus+ projekte u visini 80 000,00€</w:t>
            </w:r>
          </w:p>
        </w:tc>
      </w:tr>
      <w:tr w:rsidR="00907E62" w:rsidRPr="00EC7944" w14:paraId="5909C67A" w14:textId="77777777" w:rsidTr="00D82F29">
        <w:tc>
          <w:tcPr>
            <w:tcW w:w="1838" w:type="dxa"/>
            <w:gridSpan w:val="2"/>
            <w:vAlign w:val="center"/>
          </w:tcPr>
          <w:p w14:paraId="077407D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095D3D6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D82F29">
        <w:tc>
          <w:tcPr>
            <w:tcW w:w="1838" w:type="dxa"/>
            <w:gridSpan w:val="2"/>
            <w:vAlign w:val="center"/>
          </w:tcPr>
          <w:p w14:paraId="67100E49" w14:textId="65C0C8EF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E00E9CC" w14:textId="4D667DA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7B522B31" w14:textId="77777777" w:rsidTr="00D82F29">
        <w:tc>
          <w:tcPr>
            <w:tcW w:w="1838" w:type="dxa"/>
            <w:gridSpan w:val="2"/>
            <w:vAlign w:val="center"/>
          </w:tcPr>
          <w:p w14:paraId="46FC86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0CB88F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907E62" w:rsidRPr="00EC7944" w14:paraId="2B901FD2" w14:textId="77777777" w:rsidTr="00D82F29">
        <w:trPr>
          <w:trHeight w:val="465"/>
        </w:trPr>
        <w:tc>
          <w:tcPr>
            <w:tcW w:w="1838" w:type="dxa"/>
            <w:gridSpan w:val="2"/>
            <w:vAlign w:val="center"/>
          </w:tcPr>
          <w:p w14:paraId="1A4FF13C" w14:textId="2F82BDBC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07E65D26" w14:textId="379B7B81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2AC433C" w14:textId="77777777" w:rsidTr="00D82F29">
        <w:tc>
          <w:tcPr>
            <w:tcW w:w="1838" w:type="dxa"/>
            <w:gridSpan w:val="2"/>
            <w:vAlign w:val="center"/>
          </w:tcPr>
          <w:p w14:paraId="7BBE92A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590C949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907E62" w:rsidRPr="00EC7944" w14:paraId="14D51C98" w14:textId="77777777" w:rsidTr="00D82F29">
        <w:tc>
          <w:tcPr>
            <w:tcW w:w="1838" w:type="dxa"/>
            <w:gridSpan w:val="2"/>
            <w:vAlign w:val="center"/>
          </w:tcPr>
          <w:p w14:paraId="359C365B" w14:textId="65B17901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44DE0791" w14:textId="62DDCE1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A421B72" w14:textId="77777777" w:rsidTr="00D82F29">
        <w:tc>
          <w:tcPr>
            <w:tcW w:w="1838" w:type="dxa"/>
            <w:gridSpan w:val="2"/>
            <w:vAlign w:val="center"/>
          </w:tcPr>
          <w:p w14:paraId="5525CC1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6140CF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907E62" w:rsidRPr="00EC7944" w14:paraId="43F279F1" w14:textId="77777777" w:rsidTr="00D82F29">
        <w:tc>
          <w:tcPr>
            <w:tcW w:w="1838" w:type="dxa"/>
            <w:gridSpan w:val="2"/>
            <w:vAlign w:val="center"/>
          </w:tcPr>
          <w:p w14:paraId="0523DBB4" w14:textId="5BF234E0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4BB0427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850DC83" w14:textId="77777777" w:rsidTr="00D82F29">
        <w:tc>
          <w:tcPr>
            <w:tcW w:w="1838" w:type="dxa"/>
            <w:gridSpan w:val="2"/>
            <w:vAlign w:val="center"/>
          </w:tcPr>
          <w:p w14:paraId="012D085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37A677D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907E62" w:rsidRPr="00F76091" w14:paraId="168F5A1A" w14:textId="77777777" w:rsidTr="00D82F29">
        <w:tc>
          <w:tcPr>
            <w:tcW w:w="1838" w:type="dxa"/>
            <w:gridSpan w:val="2"/>
            <w:vAlign w:val="center"/>
          </w:tcPr>
          <w:p w14:paraId="21284544" w14:textId="4CDA4D9A" w:rsidR="00907E62" w:rsidRPr="00822905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20F5F39C" w14:textId="59A1D9A0" w:rsidR="00907E62" w:rsidRPr="0056560C" w:rsidRDefault="007C5736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Povećanje broja učenica rezultira povećanjem rashoda za nabavu hig.potrepština</w:t>
            </w:r>
          </w:p>
        </w:tc>
      </w:tr>
      <w:tr w:rsidR="00907E62" w:rsidRPr="00F76091" w14:paraId="26D3C70C" w14:textId="77777777" w:rsidTr="00D82F29">
        <w:tc>
          <w:tcPr>
            <w:tcW w:w="1838" w:type="dxa"/>
            <w:gridSpan w:val="2"/>
            <w:vAlign w:val="center"/>
          </w:tcPr>
          <w:p w14:paraId="4D5773A6" w14:textId="77777777" w:rsidR="00907E62" w:rsidRPr="00D24AB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EFC79A7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907E62" w:rsidRPr="00F76091" w14:paraId="2CBB8002" w14:textId="77777777" w:rsidTr="00D82F29">
        <w:tc>
          <w:tcPr>
            <w:tcW w:w="1838" w:type="dxa"/>
            <w:gridSpan w:val="2"/>
            <w:vAlign w:val="center"/>
          </w:tcPr>
          <w:p w14:paraId="2587E6DC" w14:textId="6F7D9B26" w:rsidR="00907E62" w:rsidRPr="00822905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9B0550B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2"/>
    <w:rsid w:val="0002727D"/>
    <w:rsid w:val="00091F2D"/>
    <w:rsid w:val="0017718F"/>
    <w:rsid w:val="001D608A"/>
    <w:rsid w:val="00222530"/>
    <w:rsid w:val="002912AE"/>
    <w:rsid w:val="002E262C"/>
    <w:rsid w:val="002E4576"/>
    <w:rsid w:val="002E7422"/>
    <w:rsid w:val="003B6075"/>
    <w:rsid w:val="003C11B3"/>
    <w:rsid w:val="003C5C9A"/>
    <w:rsid w:val="00407037"/>
    <w:rsid w:val="00412A27"/>
    <w:rsid w:val="004D0FBE"/>
    <w:rsid w:val="0052600E"/>
    <w:rsid w:val="0056560C"/>
    <w:rsid w:val="005957AA"/>
    <w:rsid w:val="005A42D4"/>
    <w:rsid w:val="005A5F2F"/>
    <w:rsid w:val="005D7561"/>
    <w:rsid w:val="005D7986"/>
    <w:rsid w:val="006273F5"/>
    <w:rsid w:val="0066046F"/>
    <w:rsid w:val="00674A12"/>
    <w:rsid w:val="006B498F"/>
    <w:rsid w:val="00740A6B"/>
    <w:rsid w:val="007536BA"/>
    <w:rsid w:val="00785FED"/>
    <w:rsid w:val="007C5736"/>
    <w:rsid w:val="007F4976"/>
    <w:rsid w:val="00810C74"/>
    <w:rsid w:val="00813DB2"/>
    <w:rsid w:val="00815FB1"/>
    <w:rsid w:val="00866CF1"/>
    <w:rsid w:val="00891281"/>
    <w:rsid w:val="00891851"/>
    <w:rsid w:val="0089524F"/>
    <w:rsid w:val="008C3B92"/>
    <w:rsid w:val="008C510C"/>
    <w:rsid w:val="00907E62"/>
    <w:rsid w:val="009F608C"/>
    <w:rsid w:val="00A0785D"/>
    <w:rsid w:val="00A4112D"/>
    <w:rsid w:val="00A412F3"/>
    <w:rsid w:val="00A50449"/>
    <w:rsid w:val="00A6095C"/>
    <w:rsid w:val="00A735AF"/>
    <w:rsid w:val="00AA5A29"/>
    <w:rsid w:val="00AC0302"/>
    <w:rsid w:val="00AF4D02"/>
    <w:rsid w:val="00B16BB8"/>
    <w:rsid w:val="00B85C89"/>
    <w:rsid w:val="00BF69D1"/>
    <w:rsid w:val="00C409BD"/>
    <w:rsid w:val="00C411A6"/>
    <w:rsid w:val="00C92176"/>
    <w:rsid w:val="00CA0042"/>
    <w:rsid w:val="00CB40C2"/>
    <w:rsid w:val="00CB5F33"/>
    <w:rsid w:val="00D32F95"/>
    <w:rsid w:val="00D521BA"/>
    <w:rsid w:val="00D82F29"/>
    <w:rsid w:val="00D96AA2"/>
    <w:rsid w:val="00DC1A16"/>
    <w:rsid w:val="00E004BC"/>
    <w:rsid w:val="00F23592"/>
    <w:rsid w:val="00F3421D"/>
    <w:rsid w:val="00F57B74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6C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C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Cornelia</cp:lastModifiedBy>
  <cp:revision>14</cp:revision>
  <cp:lastPrinted>2025-06-17T09:52:00Z</cp:lastPrinted>
  <dcterms:created xsi:type="dcterms:W3CDTF">2026-05-13T09:36:00Z</dcterms:created>
  <dcterms:modified xsi:type="dcterms:W3CDTF">2026-05-27T10:01:00Z</dcterms:modified>
</cp:coreProperties>
</file>