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e88ad364754bd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23874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SREDNJA POLJOPRIVREDNA I TEHNIČKA ŠKOLA 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746.988,60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945.173,89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763.737,28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998.220,74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16.748,68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53.046,85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6.162,58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28.088,36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6.162,58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28.088,36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455,8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22.911,26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81.135,21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354,1</w:t>
            </w:r>
          </w:p>
        </w:tc>
      </w:tr>
    </w:tbl>
    <w:p>
      <w:pPr>
        <w:spacing w:before="0" w:after="0"/>
      </w:pPr>
    </w:p>
    <w:p>
      <w:r>
        <w:t xml:space="preserve">Na dan 31. prosinca 2025., kao rezultat operativnog prihoda, imamo manjak na Y005 Manjak prihoda i primitaka od 81 135,21 € jer je ukupni operativni prihod manji od ukupnih operativnih rashoda u 2025. godini.</w:t>
      </w:r>
    </w:p>
    <w:p>
      <w:r>
        <w:t xml:space="preserve">Međutim, preneseni poslovni višak iz 2024. 9221-9222 od 24.352,84 € pokriva negativni poslovni rezultat i smanjuje ga na 56 782,37 €.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610.940,29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741.118,82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121,3</w:t>
            </w:r>
          </w:p>
        </w:tc>
      </w:tr>
    </w:tbl>
    <w:p>
      <w:pPr>
        <w:spacing w:before="0" w:after="0"/>
      </w:pPr>
    </w:p>
    <w:p>
      <w:r>
        <w:t xml:space="preserve">Iskazane su veće vrijednosti zbog povećanja broja zaposlenih, promjena obračunske osnovice po plaći i promjene  u isplatama materijalnih prava zaposlenika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610.560,29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740.738,82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121,3</w:t>
            </w:r>
          </w:p>
        </w:tc>
      </w:tr>
    </w:tbl>
    <w:p>
      <w:pPr>
        <w:spacing w:before="0" w:after="0"/>
      </w:pPr>
    </w:p>
    <w:p>
      <w:r>
        <w:t xml:space="preserve">Iskazane su veće vrijednosti zbog povećanja broja zaposlenih, promjena obračunske osnovice po plaći i promjene  u isplatama materijalnih prava zaposlenika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2.043,05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6.491,14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317,7</w:t>
            </w:r>
          </w:p>
        </w:tc>
      </w:tr>
    </w:tbl>
    <w:p>
      <w:pPr>
        <w:spacing w:before="0" w:after="0"/>
      </w:pPr>
    </w:p>
    <w:p>
      <w:r>
        <w:t xml:space="preserve">Iskazane vrijednosti zbog uplata za organizacije jednodnevnih izleta, donacija za organizaciju maturalne zabave te donacije iz gradskog proračuna za školu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2.043,05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6.491,14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317,7</w:t>
            </w:r>
          </w:p>
        </w:tc>
      </w:tr>
    </w:tbl>
    <w:p>
      <w:pPr>
        <w:spacing w:before="0" w:after="0"/>
      </w:pPr>
    </w:p>
    <w:p>
      <w:r>
        <w:t xml:space="preserve">Iskazane vrijednosti zbog uplata za organizacije jednodnevnih izleta, donacija za organizaciju maturalne zabave te donacije iz gradskog proračuna za školu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2.043,05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6.491,14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317,7</w:t>
            </w:r>
          </w:p>
        </w:tc>
      </w:tr>
    </w:tbl>
    <w:p>
      <w:pPr>
        <w:spacing w:before="0" w:after="0"/>
      </w:pPr>
    </w:p>
    <w:p>
      <w:r>
        <w:t xml:space="preserve">Iskazane vrijednosti zbog uplata za organizacije jednodnevnih izleta, donacija za organizaciju maturalne zabave te donacije iz gradskog proračuna za školu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58.547,56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131.887,78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225,3</w:t>
            </w:r>
          </w:p>
        </w:tc>
      </w:tr>
    </w:tbl>
    <w:p>
      <w:pPr>
        <w:spacing w:before="0" w:after="0"/>
      </w:pPr>
    </w:p>
    <w:p>
      <w:r>
        <w:t xml:space="preserve">Veće vrijednosti prikazane su zbog potrebe za većim brojem asistenata u nastavi kroz projekt "Zajedno možemo sve" i izdvajanja 26.000,00 € za kapitalna ulaganja te tekuća i investicijska ulaganja iz županijskog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58.547,56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131.887,78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225,3</w:t>
            </w:r>
          </w:p>
        </w:tc>
      </w:tr>
    </w:tbl>
    <w:p>
      <w:pPr>
        <w:spacing w:before="0" w:after="0"/>
      </w:pPr>
    </w:p>
    <w:p>
      <w:r>
        <w:t xml:space="preserve">Veće vrijednosti prikazane su zbog potrebe za većim brojem asistenata u nastavi kroz projekt "Zajedno možemo sve" i izdvajanja 26.000,00 € za kapitalna ulaganja te tekuća i investicijska ulaganja iz županijskog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620.653,06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842.428,49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135,7</w:t>
            </w:r>
          </w:p>
        </w:tc>
      </w:tr>
    </w:tbl>
    <w:p>
      <w:pPr>
        <w:spacing w:before="0" w:after="0"/>
      </w:pPr>
    </w:p>
    <w:p>
      <w:r>
        <w:t xml:space="preserve">Tijekom 2025. g. iskazan je veći bruto plaća zbog povećanog broja zaposlenika, povećanja obračunske osnovice i prava zaposlenika prema Kolektivnom ugovoru, isplate materijalnih prava kao jubilarne nagrade, pomoći, otpremnine, ostale nagrade i sl.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15.562,27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16.813,48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108,0</w:t>
            </w:r>
          </w:p>
        </w:tc>
      </w:tr>
    </w:tbl>
    <w:p>
      <w:pPr>
        <w:spacing w:before="0" w:after="0"/>
      </w:pPr>
    </w:p>
    <w:p>
      <w:r>
        <w:t xml:space="preserve">Povećanje broja zaposlenih rezultira većim troškovima naknada za prijevoz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1.886,88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5.051,99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267,7</w:t>
            </w:r>
          </w:p>
        </w:tc>
      </w:tr>
    </w:tbl>
    <w:p>
      <w:pPr>
        <w:spacing w:before="0" w:after="0"/>
      </w:pPr>
    </w:p>
    <w:p>
      <w:r>
        <w:t xml:space="preserve">Iskazani veći troškovi po putnim nalozima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2.361,88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159,9</w:t>
            </w:r>
          </w:p>
        </w:tc>
      </w:tr>
    </w:tbl>
    <w:p>
      <w:pPr>
        <w:spacing w:before="0" w:after="0"/>
      </w:pPr>
    </w:p>
    <w:p>
      <w:r>
        <w:t xml:space="preserve">Iskazani veći rashodi rezultat su tekućih potreba za redovno poslovanje škole te stalnih promjena cijena na tržištu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13.477,17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31.609,00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234,5</w:t>
            </w:r>
          </w:p>
        </w:tc>
      </w:tr>
    </w:tbl>
    <w:p>
      <w:pPr>
        <w:spacing w:before="0" w:after="0"/>
      </w:pPr>
    </w:p>
    <w:p>
      <w:r>
        <w:t xml:space="preserve">Iskazani veći rashodi rezultat su realizacije Erasmus+ projekta zbog troškova prijevoza i putovanja učenika, tekućih troškova poslovanja škole, popravaka i sanacija učionica i sl.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5.244,25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19.064,15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363,5</w:t>
            </w:r>
          </w:p>
        </w:tc>
      </w:tr>
    </w:tbl>
    <w:p>
      <w:pPr>
        <w:spacing w:before="0" w:after="0"/>
      </w:pPr>
    </w:p>
    <w:p>
      <w:r>
        <w:t xml:space="preserve">Dobivenim novčanim sredstvima za tekuća i investicijska ulaganja od Osnivača sanirani su zidovi, informatička učionica, izmjenjena vrata na učionicama...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620,0</w:t>
            </w:r>
          </w:p>
        </w:tc>
      </w:tr>
    </w:tbl>
    <w:p>
      <w:pPr>
        <w:spacing w:before="0" w:after="0"/>
      </w:pPr>
    </w:p>
    <w:p>
      <w:r>
        <w:t xml:space="preserve">Projekt "Kako reći ne" proveden u školi rezultat je iskazanih troškova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5.997,20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12.939,55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215,8</w:t>
            </w:r>
          </w:p>
        </w:tc>
      </w:tr>
    </w:tbl>
    <w:p>
      <w:pPr>
        <w:spacing w:before="0" w:after="0"/>
      </w:pPr>
    </w:p>
    <w:p>
      <w:r>
        <w:t xml:space="preserve">Iskazani su veći rashodi zbog povećanja doprinosa za nezapošljavanje invalida te ostalih rashoda realizacije Erasmus+ projekta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2.521,92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9.368,47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371,5</w:t>
            </w:r>
          </w:p>
        </w:tc>
      </w:tr>
    </w:tbl>
    <w:p>
      <w:pPr>
        <w:spacing w:before="0" w:after="0"/>
      </w:pPr>
    </w:p>
    <w:p>
      <w:r>
        <w:t xml:space="preserve">Realizacija Erasmus+ projekta povećava rashode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133,7</w:t>
            </w:r>
          </w:p>
        </w:tc>
      </w:tr>
    </w:tbl>
    <w:p>
      <w:pPr>
        <w:spacing w:before="0" w:after="0"/>
      </w:pPr>
    </w:p>
    <w:p>
      <w:r>
        <w:t xml:space="preserve">Povećanje financijskih rashoda rezultat je većih bankarskih usluga zbog stalnih transakcija po računu zbog realizacije Erasmus+ projekta, ostvarenog prometa kroz Učenički servis i troškova gašenja poslovnog računa prelaskom na Lokalnu riznicu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16.748,68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53.046,85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316,7</w:t>
            </w:r>
          </w:p>
        </w:tc>
      </w:tr>
    </w:tbl>
    <w:p>
      <w:pPr>
        <w:spacing w:before="0" w:after="0"/>
      </w:pPr>
    </w:p>
    <w:p>
      <w:r>
        <w:t xml:space="preserve">Ukupni operativni deficit iskazuje se zbog primjene nove Uredbe o proračunskom računovodstvu i Kontnog plana, koja je stupila na snagu 1. siječnja 2025., ukidanja iskaza kontinuiranih rashoda i novog izvještavanja o EU projektima gdje se prihodi priznaju tek u završnom izvješću.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6.162,58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28.088,36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455,8</w:t>
            </w:r>
          </w:p>
        </w:tc>
      </w:tr>
    </w:tbl>
    <w:p>
      <w:pPr>
        <w:spacing w:before="0" w:after="0"/>
      </w:pPr>
    </w:p>
    <w:p>
      <w:r>
        <w:t xml:space="preserve">Odlukom Osnivača dodijeljena su sredstva za kupnju potrebnih računala za školu.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5.030,89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27.078,13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538,2</w:t>
            </w:r>
          </w:p>
        </w:tc>
      </w:tr>
    </w:tbl>
    <w:p>
      <w:pPr>
        <w:spacing w:before="0" w:after="0"/>
      </w:pPr>
    </w:p>
    <w:p>
      <w:r>
        <w:t xml:space="preserve">Odlukom Osnivača dodijeljena su sredstva za kupnju potrebnih računala za školu.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5.030,89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27.078,13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538,2</w:t>
            </w:r>
          </w:p>
        </w:tc>
      </w:tr>
    </w:tbl>
    <w:p>
      <w:pPr>
        <w:spacing w:before="0" w:after="0"/>
      </w:pPr>
    </w:p>
    <w:p>
      <w:r>
        <w:t xml:space="preserve">Odlukom Osnivača dodijeljena su sredstva za kupnju potrebnih računala za školu.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22.911,26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81.135,21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354,1</w:t>
            </w:r>
          </w:p>
        </w:tc>
      </w:tr>
    </w:tbl>
    <w:p>
      <w:pPr>
        <w:spacing w:before="0" w:after="0"/>
      </w:pPr>
    </w:p>
    <w:p>
      <w:r>
        <w:t xml:space="preserve">Ukupni operativni deficit iskazuje se zbog primjene nove Uredbe o proračunskom računovodstvu i Kontnog plana, koja je stupila na snagu 1. siječnja 2025., ukidanja iskaza kontinuiranih rashoda te novog izvještavanja o EU projektima gdje se prihodi priznaju tek u završnom izvješću.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56.782,37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operativni deficit iskazuje se zbog primjene nove Uredbe o proračunskom računovodstvu i Kontnog plana, koja je stupila na snagu 1. siječnja 2025., ukidanja iskaza kontinuiranih rashoda i novog izvještavanja o EU projektima gdje se prihodi priznaju tek u završnom izvješću.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građevinskih objekata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191.434,56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225.340,88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117,7</w:t>
            </w:r>
          </w:p>
        </w:tc>
      </w:tr>
    </w:tbl>
    <w:p>
      <w:pPr>
        <w:spacing w:before="0" w:after="0"/>
      </w:pPr>
    </w:p>
    <w:p>
      <w:r>
        <w:t xml:space="preserve">Redovni obračun amortizacije nefinancijske imovine rezultat je povećanja ispravka vrijednosnog usklađivanja, ali i smanjenja sadašnje vrijednosti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119.108,17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146.186,30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122,7</w:t>
            </w:r>
          </w:p>
        </w:tc>
      </w:tr>
    </w:tbl>
    <w:p>
      <w:pPr>
        <w:spacing w:before="0" w:after="0"/>
      </w:pPr>
    </w:p>
    <w:p>
      <w:r>
        <w:t xml:space="preserve">Nastavni smjer Web dizajner i modularna nastava zahtjevali su nabavu novih računala  kako bi se nastava odvijala što kvalitetnije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postrojenja i opreme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162.290,65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183.347,07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113,0</w:t>
            </w:r>
          </w:p>
        </w:tc>
      </w:tr>
    </w:tbl>
    <w:p>
      <w:pPr>
        <w:spacing w:before="0" w:after="0"/>
      </w:pPr>
    </w:p>
    <w:p>
      <w:r>
        <w:t xml:space="preserve">Redovni obračun amortizacije postrojenja i opreme rezultat je povećanja ispravka vrijednosnih usklađenja, ali i smanjenja sadašnje vrijednosti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194.118,82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Nova Uredba o izvještavanju i praćenju prijenosa sredstava EU-a također uvodi nove izvode o računima 1638 Zahtjevi za pomoć na temelju prijenosa sredstava EU-a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70.901,60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Nova Uredba o izvještavanju i praćenju prijenosa sredstava EU-a također uvodi nove izvode o računima 1638 Zahtjevi za pomoć na temelju prijenosa sredstava EU-a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6.336,00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Nova Uredba o izvještavanju i praćenju prijenosa sredstava EU-a također uvodi nove izvode o računima 1638 Zahtjevi za pomoć na temelju prijenosa sredstava EU-a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123.217,22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 je prijenos novca s poslovnog računa u Lokalnu riznicu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65.774,04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-56.782,37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-86,3</w:t>
            </w:r>
          </w:p>
        </w:tc>
      </w:tr>
    </w:tbl>
    <w:p>
      <w:pPr>
        <w:spacing w:before="0" w:after="0"/>
      </w:pPr>
    </w:p>
    <w:p>
      <w:r>
        <w:t xml:space="preserve">Ukupni operativni deficit iskazuje se zbog primjene nove Uredbe o proračunskom računovodstvu i Kontnog plana, koja je stupila na snagu 1. siječnja 2025., ukidanja iskaza kontinuiranih rashoda i novog izvještavanja o EU projektima gdje se prihodi priznaju tek u završnom izvješću.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92221 do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20.907,81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56.782,37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271,6</w:t>
            </w:r>
          </w:p>
        </w:tc>
      </w:tr>
    </w:tbl>
    <w:p>
      <w:pPr>
        <w:spacing w:before="0" w:after="0"/>
      </w:pPr>
    </w:p>
    <w:p>
      <w:r>
        <w:t xml:space="preserve">Ukupni operativni deficit iskazuje se zbog primjene nove Uredbe o proračunskom računovodstvu i Kontnog plana, koja je stupila na snagu 1. siječnja 2025., ukidanja iskaza kontinuiranih rashoda i novog izvještavanja o EU projektima gdje se prihodi priznaju tek u završnom izvješću.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Srednjoškolsko obrazovanje (šifre 0921+0922)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769.899,86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1.026.309,10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133,3</w:t>
            </w:r>
          </w:p>
        </w:tc>
      </w:tr>
    </w:tbl>
    <w:p>
      <w:pPr>
        <w:spacing w:before="0" w:after="0"/>
      </w:pPr>
    </w:p>
    <w:p>
      <w:r>
        <w:t xml:space="preserve">Poslovni rashodi za 2025. godinu iznose 1.020.259,46 €:</w:t>
      </w:r>
    </w:p>
    <w:p>
      <w:r>
        <w:t xml:space="preserve">-31 Troškovi za zaposlenike 836 801,53 e</w:t>
      </w:r>
    </w:p>
    <w:p>
      <w:r>
        <w:t xml:space="preserve">-32 Materijalni troškovi 154.155,79 €</w:t>
      </w:r>
    </w:p>
    <w:p>
      <w:r>
        <w:t xml:space="preserve">-34 Financijski rashodi 952,78 €</w:t>
      </w:r>
    </w:p>
    <w:p>
      <w:r>
        <w:t xml:space="preserve">-38 Tekuće donacije 261,00 €</w:t>
      </w:r>
    </w:p>
    <w:p>
      <w:r>
        <w:t xml:space="preserve">-42 Rashodi za kupnju proizvedene dugotrajne imovine 28.088,36 €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imovine (šifre P001+P008)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Budući u 2025. g. nismo imali promjena vrijednosti obujma imovine, izvešće P-VRIO je nepopunjen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180.484,74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na dan 31.12.2025.</w:t>
      </w:r>
    </w:p>
    <w:p>
      <w:r>
        <w:t xml:space="preserve">231 Obveze za zaposlene 64 588,01€ isplaćene u siječnju 2026.</w:t>
      </w:r>
    </w:p>
    <w:p>
      <w:r>
        <w:t xml:space="preserve">232 Obveze za materijalne rashode 1 148,84€</w:t>
      </w:r>
    </w:p>
    <w:p>
      <w:r>
        <w:t xml:space="preserve">234 Obveze za financijske rashode 5,00€</w:t>
      </w:r>
    </w:p>
    <w:p>
      <w:r>
        <w:t xml:space="preserve">242 Obv.za nabavu proizv.dugotr.imovine 39,79€</w:t>
      </w:r>
    </w:p>
    <w:p>
      <w:r>
        <w:t xml:space="preserve">27 Obveze za predujmove 108 653,49€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dospjelih obveza jer su svi računi kroz 2025. godinu plaćani u roku.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2024. g smo započeli sa Akreditacijom Erasmus+ 2025-1-HR01-KA121-VET-000313923 ZA 386-2025 čiju realizaciju nastavljamo u 2025. g.</w:t>
      </w:r>
    </w:p>
    <w:p>
      <w:r>
        <w:t xml:space="preserve">U 2025. g. prenosimo 41 421,20 € i ispravljamo rezultat poslovanja 92211 i priznajemo ostatak ukupne vrijednosti po Ugovoru 51 983,00€.</w:t>
      </w:r>
    </w:p>
    <w:p>
      <w:r>
        <w:t xml:space="preserve">Isti projekt je u 2025. završen te je priznat rashod.</w:t>
      </w:r>
    </w:p>
    <w:p>
      <w:r>
        <w:t xml:space="preserve">U lipnju 2026. imamo novi Ugovor i uplaćen je predujam od 108 454,40€. Realizacija istog ide u 2026. g.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48b123d1f74ca1" /></Relationships>
</file>